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68" w:rsidRDefault="00DA606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4253"/>
      </w:tblGrid>
      <w:tr w:rsidR="00A82BB7"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CA0_ИНС__1_ПРЛ__1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ежегодного районного смотра-конкурса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лучшую организацию работы по охране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труда в организациях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</w:tr>
    </w:tbl>
    <w:p w:rsidR="00A82BB7" w:rsidRDefault="00A82BB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BB7" w:rsidRDefault="00A82BB7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A82BB7" w:rsidRDefault="00A82BB7">
      <w:pPr>
        <w:autoSpaceDE w:val="0"/>
        <w:autoSpaceDN w:val="0"/>
        <w:adjustRightInd w:val="0"/>
        <w:spacing w:before="240"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СПРАВКА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 оценке показателей состояния условий и охраны труда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ind w:left="18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организации, ведомственная принадлежность)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_________ год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ИНС__1_ПРЛ__1_П_1_19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 Место нахождения (почтовый адрес) 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ИНС__1_ПРЛ__1_П_2_20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2. Телефон, факс ______________________________________________________________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ИНС__1_ПРЛ__1_П_3_21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3. Адрес электронной почты ____________________________________________________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ИНС__1_ПРЛ__1_П_4_2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4. Организационно-правовая форма 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ИНС__1_ПРЛ__1_П_5_2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5. Основной вид деятельности 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ИНС__1_ПРЛ__1_П_6_2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6. Форма собственности ________________________________________________________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1_ПРЛ__1_П_7_25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7. Наименование выпускаемой продукции (товаров, работ, услуг) 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ИНС__1_ПРЛ__1_П_8_26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8. Руководитель организации 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ind w:left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(должность, фамилия, собственное имя,</w:t>
      </w:r>
      <w:proofErr w:type="gramEnd"/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ИНС__1_ПРЛ__1_П_9_27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9. Вышестоящая организация (при наличии) 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ИНС__1_ПРЛ__1_П_10_28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10. Начальник службы охраны труда (специалист по охране труда) либо привлеченное юридическое лицо (индивидуальный предприниматель), аккредитованное (аккредитованный) на оказание услуг в области охраны труда 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ind w:left="69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(должность, фамилия, </w:t>
      </w:r>
      <w:proofErr w:type="gramEnd"/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собственное имя, отчество (если таковое имеется), тел./факс, адрес электронной почты)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ИНС__1_ПРЛ__1_П_11_29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11. Председатель профсоюзного комитета (уполномоченное лицо по охране труда организации) _________________________________________________________________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ind w:left="32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(должность, фамилия, собственное имя, отчество</w:t>
      </w:r>
      <w:proofErr w:type="gramEnd"/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имеется), тел./факс, адрес электронной почты)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ИНС__1_ПРЛ__1_П_12_30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12. Списочная численность работников на конец года (человек) 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ИНС__1_ПРЛ__1_П_13_31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13. Количество рабочих мест ____________________________________________________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ИНС__1_ПРЛ__1_П_14_32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14. Наличие профсоюзной организации и коллективного договора ____________________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ИНС__1_ПРЛ__1_П_15_33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15. Сведения о показателях состояния условий и охраны труда, их оценке:</w:t>
      </w:r>
    </w:p>
    <w:p w:rsidR="00A82BB7" w:rsidRDefault="00A82BB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5"/>
        <w:gridCol w:w="1220"/>
        <w:gridCol w:w="939"/>
        <w:gridCol w:w="657"/>
        <w:gridCol w:w="845"/>
        <w:gridCol w:w="939"/>
      </w:tblGrid>
      <w:tr w:rsidR="00A82BB7">
        <w:trPr>
          <w:trHeight w:val="240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отчетному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вой пока-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затель</w:t>
            </w:r>
            <w:proofErr w:type="spell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системы управления охраной труда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Система управления охраной труда: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балл;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внедрена – баллы не начисляются: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применяется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не применяется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Система управления охраной труда: сертифицирована – 3 балла;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сертифицирована – баллы не начисляются: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сертифицирована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не сертифицирована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специалистов по охране труда либо наличие привлеченных юридических лиц (индивидуальных предпринимателей), аккредитованных на оказание услуг в области охраны труда: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фактическая соответствует нормативной 100 % – 1 балл;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фактическая не соответствует нормативной (менее 100 %) – баллы не начисляются:</w:t>
            </w:r>
            <w:proofErr w:type="gram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нормативная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фактическая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квалификации специалистов по охране труда требованиям </w:t>
            </w:r>
            <w:hyperlink r:id="rId7" w:anchor="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труда Республики Беларусь от 30 декабря 1999 г. № 159 «Об утверждении выпуска 1 Единого квалификационного справочника должностей служащих (ЕКСД) «Должности служащих для всех видов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деятельности», выпуска 6 ЕКСД «Должности служащих, занятых в машиностроении и металлообработке», выпуска 33 ЕКСД «Должности служащих, занятых финансами, кредитом и страхованием» и выпуска 21 ЕКСД «Должности служащих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геодезией и картографией»: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соответствует 100 %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соответствует менее 100 % – баллы не начисляются: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4.1. численность специалистов по охране труда, образование которых не соответствует квалификационным требованиям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удельный вес специалистов по охране труда, образование которых не соответствует квалификационным требованиям, от всех специалистов по охране труда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Обеспеченность нормативной документацией в области охраны труда, в том числе инструкциями по охране труда для работников по всем профессиям и видам выполняемых работ: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100 %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менее 100 % – баллы не начисляются: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количество инструкций по охране труда по профессиям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количество инструкций по охране труда по видам работ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Кабинет охраны труда (уголок по охране труда):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 наличии кабинета охраны труда – 3 балла;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 наличии уголка по охране труда – 2 балла;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 отсутствии кабинета охраны труда (уголка по охране труда) – баллы не начисляются: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наличие кабинета охраны труда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 квадратных метров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наличие уголка по охране труда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квадратных метров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Прохождение обучения и проверки знаний по вопросам охраны труда руководителями, специалистами и другими работниками организации: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100 %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менее 100 % – баллы не начисляются: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 прошедшие обучение и проверку знаний по вопросам охраны труда руководители, специалисты, другие работники организации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 удельный вес прошедших обучение и проверку знаний по вопросам охраны труда руководителей, специалистов, других работников организации от общей численности работников, подлежащих прохождению проверки знаний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работниками требований по охране труда, осуществляемый руководителем организации, должностными лицами, ответственными за организацию охраны труда, руководителями структурных подразделений, работниками службы охраны труда (специалистом по охране труда), представителями профессиональных союзов, в том числе общественными инспекторами по охране труда: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организован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организован – баллы не начисляются: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 организован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работниками требований по охране труда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подразделениях, утвержденной </w:t>
            </w:r>
            <w:hyperlink r:id="rId8" w:anchor="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труда и социальной защиты Республики Беларусь от 15 мая 2020 г. № 51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 не организован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Проведение дней охраны труда: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проводятся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проводятся – баллы не начисляются: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 организовано (не организовано) проведение дней охраны труда в организации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 количество проведенных дней охраны труда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улучшению условий и охраны труда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Снижение удельного веса рабочих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с вр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едными и (или) опасными условиями труда по сравнению с предыдущим годом: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каждый процент сокращения – 3 балла: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 количество рабочих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с вр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едными и (или) опасными условиями труда, приведенных в соответствие с требованиями санитарно-гигиенических нормативов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 количество рабочих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с вр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едными и (или) опасными условиями труда, на которых в соответствии с законодательством работникам предусмотрены компенсации по условиям труда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 удельный вес рабочих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с вр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едными и (или) опасными условиями труда к общему количеству рабочих мест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Сокращение удельного веса работников, занятых на рабочих местах с вредными и (или) опасными условиями труда по сравнению с предыдущим годом: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каждый процент сокращения – 3 балла: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 численность работников, условия труда которых приведены в соответствие с требованиями санитарно-гигиенических нормативов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 численность работников, занятых на рабочих местах с вредными и (или) опасными условиями труда, на которых в соответствии с законодательством работникам предусмотрены компенсации по условиям труда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 удельный вес работников, занятых на рабочих местах с вредными и (или) опасными условиями труда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 Удельный вес рабочих мест, аттестованных по условиям труда, от общего числа рабочих мест, подлежащих аттестации: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100 % – 3 балла;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менее 100 % – баллы не начисляются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Выполнение плана мероприятий по охране труда, разработанного в соответствии с </w:t>
            </w:r>
            <w:hyperlink r:id="rId9" w:anchor="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труда и социальной защиты Республики Беларусь от 28 ноября 2013 г. № 111 «Об утверждении Инструкции о порядке планирования и разработки мероприятий по охране труда»: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100 % выполнения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менее 100 % – баллы не начисляются (мероприятия, утратившие необходимость их выполнения в течение года и исключенные из плана мероприятий по охране труда в установленном порядке, невыполненными не считаются):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 количество запланированных мероприятий – всего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 из них выполнено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13.3. запланировано средств на выполнение плана мероприятий – всего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белорусских рублей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13.4. из них фактически израсходовано средств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белорусских рублей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Израсходовано средств на охрану труда в расчете на одного работника: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менее 10 базовых величин – баллы не начисляются;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 базовых величин – 1 балл и за увеличение данной суммы на 1 базовую величину добавляется по 0,2 балла, но не более двух баллов в целом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 величин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Израсходовано средств на охрану труда в расчете на одного работника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белорусских рублей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производственного травматизма и профессиональной заболеваемости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Отсутствие несчастных случаев на производстве – 5 баллов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Численность потерпевших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несчастных случаях на производстве – всего: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17.1. количество несчастных случаев со смертельным исходом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 количество несчастных случаев со смертельным исходом, произошедших по вине нанимателя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 количество несчастных случаев с тяжелым исходом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 количество несчастных случаев с тяжелым исходом, произошедших по вине нанимателя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коэффициента частоты производственного травматизма (количество потерпевших при несчастных случаях на производстве с утратой трудоспособности на 1 рабочий день и более и со смертельным исходом в отчетном году к средней численности застрахованных в расчете на 1000 работников) по сравнению с предыдущим годом: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0,1 до 1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 до 5 – 2 балла;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5 и более – 3 балла: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частоты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18.1. численность потерпевших при несчастных случаях на производстве с утратой трудоспособности на 1 рабочий день и более и со смертельным исходом за 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18.2. средняя численность застрахованных лиц за 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Снижение коэффициента частоты производственного травматизма со смертельным исходом (количество потерпевших со смертельным исходом за отчетный период на 1000 работников) по сравнению с предыдущим годом: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1 до 5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5 и более – 2 балла: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частоты со смертельным исходом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19.1. численность потерпевших при несчастных случаях на производстве со смертельным исходом за 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19.2. средняя численность застрахованных лиц за 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Не установлено профессиональных заболеваний – 2 балла.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профессиональной заболеваемости (численность потерпевших, у которых впервые зарегистрированы профессиональные заболевания, к средней численности застрахованных в расчете на 10 тыс. застрахованных) по сравнению с предыдущим годом – 1 балл: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20.1. численность потерпевших, у которых впервые зарегистрированы профессиональные заболевания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 средняя численность застрахованных лиц за 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Санитарно-бытовое и лечебно-профилактическое обслуживание работников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Обеспеченность работников средствами индивидуальной защиты согласно нормам: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100 %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менее 100 % – баллы не начисляются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Выполнение порядка выдачи и содержания средств индивидуальной защиты: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выполняется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выполняется – баллы не начисляются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Обеспеченность работников санитарно-бытовыми помещениями и устройствами: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100 %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менее 100 % – баллы не начисляются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Охват работников, подлежащих прохождению в отчетном году периодических медицинских осмотров: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100 %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менее 100 % – баллы не начисляются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медицинского осмотра и освидетельствования на предмет нахождения в состоянии алкогольного, наркотического или токсического опьянения: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организовано – 1 балл;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организовано – баллы не начисляются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представленных материалов</w:t>
            </w: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оформление материалов, представленных на районный смотр-конкурс, с использованием фото-, видеоматериалов, презентации, буклета: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оформлено – 5 баллов;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оформлено – баллы не начисляются</w:t>
            </w:r>
            <w:proofErr w:type="gram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blPrEx>
          <w:tblCellSpacing w:w="-8" w:type="nil"/>
        </w:tblPrEx>
        <w:trPr>
          <w:trHeight w:val="240"/>
          <w:tblCellSpacing w:w="-8" w:type="nil"/>
        </w:trPr>
        <w:tc>
          <w:tcPr>
            <w:tcW w:w="4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оценка в баллах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2BB7" w:rsidRDefault="00A82BB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290"/>
        <w:gridCol w:w="2960"/>
      </w:tblGrid>
      <w:tr w:rsidR="00A82BB7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A82BB7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ind w:left="8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(наименование должности)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ind w:right="3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собственное имя,</w:t>
            </w:r>
            <w:proofErr w:type="gramEnd"/>
          </w:p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(если таковое имеется)</w:t>
            </w:r>
          </w:p>
        </w:tc>
      </w:tr>
      <w:tr w:rsidR="00A82BB7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 ________________ ______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профсоюзного комитета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B7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A82BB7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ind w:left="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(наименование должности)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ind w:right="3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собственное имя,</w:t>
            </w:r>
            <w:proofErr w:type="gramEnd"/>
          </w:p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(если таковое имеется)</w:t>
            </w:r>
          </w:p>
        </w:tc>
      </w:tr>
      <w:tr w:rsidR="00A82BB7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 ________________ ______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B7" w:rsidRDefault="00A82BB7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2BB7" w:rsidRDefault="00A82BB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25D" w:rsidRPr="00A82BB7" w:rsidRDefault="0005025D" w:rsidP="00A82BB7"/>
    <w:sectPr w:rsidR="0005025D" w:rsidRPr="00A82BB7" w:rsidSect="0056524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63" w:rsidRDefault="00E50F63" w:rsidP="00800717">
      <w:pPr>
        <w:spacing w:after="0" w:line="240" w:lineRule="auto"/>
      </w:pPr>
      <w:r>
        <w:separator/>
      </w:r>
    </w:p>
  </w:endnote>
  <w:endnote w:type="continuationSeparator" w:id="0">
    <w:p w:rsidR="00E50F63" w:rsidRDefault="00E50F63" w:rsidP="0080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56524E" w:rsidTr="0056524E">
      <w:tc>
        <w:tcPr>
          <w:tcW w:w="1813" w:type="pct"/>
        </w:tcPr>
        <w:p w:rsidR="0056524E" w:rsidRPr="00D96E53" w:rsidRDefault="0056524E" w:rsidP="0056524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по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состоянию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на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15.12.2021</w:t>
          </w:r>
        </w:p>
      </w:tc>
      <w:tc>
        <w:tcPr>
          <w:tcW w:w="1381" w:type="pct"/>
        </w:tcPr>
        <w:p w:rsidR="0056524E" w:rsidRPr="00DA6068" w:rsidRDefault="0056524E" w:rsidP="0056524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DA606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DA606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DA606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56524E" w:rsidRPr="00D96E53" w:rsidRDefault="0056524E" w:rsidP="0056524E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Страница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603D8B">
            <w:rPr>
              <w:rFonts w:ascii="Times New Roman" w:hAnsi="Times New Roman" w:cs="Times New Roman"/>
              <w:noProof/>
              <w:sz w:val="14"/>
              <w:szCs w:val="14"/>
            </w:rPr>
            <w:t>9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603D8B">
            <w:rPr>
              <w:rFonts w:ascii="Times New Roman" w:hAnsi="Times New Roman" w:cs="Times New Roman"/>
              <w:noProof/>
              <w:sz w:val="14"/>
              <w:szCs w:val="14"/>
            </w:rPr>
            <w:t>9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56524E" w:rsidRPr="009D179B" w:rsidRDefault="0056524E" w:rsidP="0056524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63" w:rsidRDefault="00E50F63" w:rsidP="00800717">
      <w:pPr>
        <w:spacing w:after="0" w:line="240" w:lineRule="auto"/>
      </w:pPr>
      <w:r>
        <w:separator/>
      </w:r>
    </w:p>
  </w:footnote>
  <w:footnote w:type="continuationSeparator" w:id="0">
    <w:p w:rsidR="00E50F63" w:rsidRDefault="00E50F63" w:rsidP="0080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56524E" w:rsidTr="0056524E">
      <w:tc>
        <w:tcPr>
          <w:tcW w:w="7513" w:type="dxa"/>
        </w:tcPr>
        <w:p w:rsidR="0056524E" w:rsidRPr="00DA6068" w:rsidRDefault="0056524E" w:rsidP="0056524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DA6068">
            <w:rPr>
              <w:rFonts w:ascii="Times New Roman" w:hAnsi="Times New Roman" w:cs="Times New Roman"/>
              <w:sz w:val="14"/>
              <w:szCs w:val="14"/>
            </w:rPr>
            <w:t>Решение от 22.11.2021 № 1625 «О порядке проведения ежегодного районного смотра-конкурса на лучшую</w:t>
          </w:r>
          <w:proofErr w:type="gramStart"/>
          <w:r w:rsidRPr="00DA6068">
            <w:rPr>
              <w:rFonts w:ascii="Times New Roman" w:hAnsi="Times New Roman" w:cs="Times New Roman"/>
              <w:sz w:val="14"/>
              <w:szCs w:val="14"/>
            </w:rPr>
            <w:t xml:space="preserve"> .</w:t>
          </w:r>
          <w:proofErr w:type="gramEnd"/>
          <w:r w:rsidRPr="00DA6068">
            <w:rPr>
              <w:rFonts w:ascii="Times New Roman" w:hAnsi="Times New Roman" w:cs="Times New Roman"/>
              <w:sz w:val="14"/>
              <w:szCs w:val="14"/>
            </w:rPr>
            <w:t>.»</w:t>
          </w:r>
        </w:p>
      </w:tc>
      <w:tc>
        <w:tcPr>
          <w:tcW w:w="1607" w:type="dxa"/>
        </w:tcPr>
        <w:p w:rsidR="0056524E" w:rsidRDefault="0056524E" w:rsidP="0056524E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печати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: 17.12.2021</w:t>
          </w:r>
        </w:p>
      </w:tc>
    </w:tr>
  </w:tbl>
  <w:p w:rsidR="0056524E" w:rsidRPr="00B82B7A" w:rsidRDefault="0056524E" w:rsidP="0056524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BB7"/>
    <w:rsid w:val="0005025D"/>
    <w:rsid w:val="002B6E32"/>
    <w:rsid w:val="00383046"/>
    <w:rsid w:val="0056524E"/>
    <w:rsid w:val="00603D8B"/>
    <w:rsid w:val="00800717"/>
    <w:rsid w:val="00824B9D"/>
    <w:rsid w:val="00A82BB7"/>
    <w:rsid w:val="00DA6068"/>
    <w:rsid w:val="00E50F63"/>
    <w:rsid w:val="00EC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#0#0#1#2973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#0#0#1#10596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#0#0#1#203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Рункевич Юлия Андреевна</dc:creator>
  <cp:lastModifiedBy>Бобель Сергей Иванович</cp:lastModifiedBy>
  <cp:revision>10</cp:revision>
  <dcterms:created xsi:type="dcterms:W3CDTF">2021-12-17T09:07:00Z</dcterms:created>
  <dcterms:modified xsi:type="dcterms:W3CDTF">2023-02-07T06:37:00Z</dcterms:modified>
</cp:coreProperties>
</file>